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8" w:rsidRPr="00FA4E48" w:rsidRDefault="00FA4E48" w:rsidP="00B424FD">
      <w:pPr>
        <w:jc w:val="center"/>
        <w:rPr>
          <w:b/>
        </w:rPr>
      </w:pPr>
      <w:r w:rsidRPr="00FA4E48">
        <w:rPr>
          <w:b/>
        </w:rPr>
        <w:t>“Amarsi e sposarsi nei matrimoni misti: attenzioni pastorali e canoniche”</w:t>
      </w:r>
    </w:p>
    <w:p w:rsidR="00FA4E48" w:rsidRDefault="00FA4E48" w:rsidP="00B424FD">
      <w:pPr>
        <w:jc w:val="center"/>
      </w:pPr>
      <w:bookmarkStart w:id="0" w:name="_GoBack"/>
      <w:bookmarkEnd w:id="0"/>
    </w:p>
    <w:p w:rsidR="00B424FD" w:rsidRPr="00B424FD" w:rsidRDefault="00B424FD" w:rsidP="00B424FD">
      <w:pPr>
        <w:jc w:val="center"/>
        <w:rPr>
          <w:i/>
        </w:rPr>
      </w:pPr>
      <w:r w:rsidRPr="00B424FD">
        <w:rPr>
          <w:i/>
        </w:rPr>
        <w:t>I matrimoni tra cattolici e musulmani in Italia,</w:t>
      </w:r>
    </w:p>
    <w:p w:rsidR="00B424FD" w:rsidRDefault="00B424FD" w:rsidP="00B424FD">
      <w:pPr>
        <w:jc w:val="center"/>
      </w:pPr>
      <w:r>
        <w:t>Presidenza della CEI, 2005</w:t>
      </w:r>
    </w:p>
    <w:p w:rsidR="00B424FD" w:rsidRDefault="00B424FD" w:rsidP="00B424FD">
      <w:pPr>
        <w:jc w:val="center"/>
      </w:pPr>
    </w:p>
    <w:p w:rsidR="00147C47" w:rsidRDefault="00244766" w:rsidP="00B424FD">
      <w:pPr>
        <w:jc w:val="center"/>
      </w:pPr>
      <w:r>
        <w:t xml:space="preserve">Andrea </w:t>
      </w:r>
      <w:proofErr w:type="spellStart"/>
      <w:r>
        <w:t>Pacini</w:t>
      </w:r>
      <w:proofErr w:type="spellEnd"/>
    </w:p>
    <w:p w:rsidR="00244766" w:rsidRDefault="00244766" w:rsidP="00B424FD">
      <w:pPr>
        <w:jc w:val="center"/>
      </w:pPr>
    </w:p>
    <w:p w:rsidR="00B424FD" w:rsidRDefault="00B424FD" w:rsidP="00B424FD">
      <w:pPr>
        <w:jc w:val="center"/>
      </w:pPr>
    </w:p>
    <w:p w:rsidR="00B424FD" w:rsidRDefault="00B424FD" w:rsidP="00B71533">
      <w:r>
        <w:t>I. IL CONTESTO: TENDENZE DEI MUSULMANI IN ITALIA</w:t>
      </w:r>
    </w:p>
    <w:p w:rsidR="00B71533" w:rsidRDefault="00B424FD" w:rsidP="00B71533">
      <w:pPr>
        <w:ind w:left="284"/>
      </w:pPr>
      <w:r>
        <w:br/>
      </w:r>
      <w:r w:rsidR="00B71533">
        <w:t xml:space="preserve">- </w:t>
      </w:r>
      <w:r>
        <w:t>Islam etnico: le espressioni religioso-culturali delle prime generazioni immigrate</w:t>
      </w:r>
      <w:r w:rsidR="00B71533">
        <w:br/>
      </w:r>
    </w:p>
    <w:p w:rsidR="00147C47" w:rsidRDefault="00B424FD" w:rsidP="00B71533">
      <w:pPr>
        <w:pStyle w:val="Paragrafoelenco"/>
        <w:numPr>
          <w:ilvl w:val="0"/>
          <w:numId w:val="4"/>
        </w:numPr>
      </w:pPr>
      <w:r>
        <w:t>Identità religiosa e culturale delle secon</w:t>
      </w:r>
      <w:r w:rsidR="00B71533">
        <w:t>de generazioni</w:t>
      </w:r>
      <w:r w:rsidR="00244766">
        <w:t>.</w:t>
      </w:r>
      <w:r w:rsidR="00B71533">
        <w:br/>
      </w:r>
    </w:p>
    <w:p w:rsidR="00244766" w:rsidRDefault="00B71533" w:rsidP="00244766">
      <w:pPr>
        <w:pStyle w:val="Paragrafoelenco"/>
        <w:numPr>
          <w:ilvl w:val="0"/>
          <w:numId w:val="4"/>
        </w:numPr>
      </w:pPr>
      <w:r>
        <w:t>La dimensione individuale dell’appropriazione delle app</w:t>
      </w:r>
      <w:r w:rsidR="00244766">
        <w:t>artenenze religiose e culturali.</w:t>
      </w:r>
      <w:r w:rsidR="00244766">
        <w:br/>
      </w:r>
    </w:p>
    <w:p w:rsidR="00244766" w:rsidRDefault="00244766" w:rsidP="00244766">
      <w:pPr>
        <w:pStyle w:val="Paragrafoelenco"/>
        <w:numPr>
          <w:ilvl w:val="0"/>
          <w:numId w:val="4"/>
        </w:numPr>
      </w:pPr>
      <w:r>
        <w:t>Il matrimonio misto cristiano-islamico  è asimmetrico per l’islam a seconda del genere.</w:t>
      </w:r>
    </w:p>
    <w:p w:rsidR="00B424FD" w:rsidRDefault="00147C47">
      <w:r>
        <w:br/>
      </w:r>
    </w:p>
    <w:p w:rsidR="007011E7" w:rsidRDefault="00B424FD">
      <w:r>
        <w:t xml:space="preserve">II. I matrimoni misti cristiano-islamici: </w:t>
      </w:r>
      <w:r w:rsidR="00861687">
        <w:t>PROPOSTA PASTORALE</w:t>
      </w:r>
    </w:p>
    <w:p w:rsidR="00861687" w:rsidRDefault="00861687"/>
    <w:p w:rsidR="00861687" w:rsidRDefault="00861687" w:rsidP="00861687">
      <w:pPr>
        <w:pStyle w:val="Paragrafoelenco"/>
        <w:numPr>
          <w:ilvl w:val="0"/>
          <w:numId w:val="1"/>
        </w:numPr>
      </w:pPr>
      <w:r>
        <w:t>Impedire l’isolamento della coppia</w:t>
      </w:r>
    </w:p>
    <w:p w:rsidR="00861687" w:rsidRDefault="00B424FD" w:rsidP="00861687">
      <w:pPr>
        <w:pStyle w:val="Paragrafoelenco"/>
        <w:numPr>
          <w:ilvl w:val="0"/>
          <w:numId w:val="1"/>
        </w:numPr>
      </w:pPr>
      <w:r>
        <w:t>Confermare</w:t>
      </w:r>
      <w:r w:rsidR="00861687">
        <w:t xml:space="preserve"> la parte cattolica per evitare rischi di abbandono della fede</w:t>
      </w:r>
    </w:p>
    <w:p w:rsidR="00861687" w:rsidRDefault="00861687" w:rsidP="00861687">
      <w:pPr>
        <w:pStyle w:val="Paragrafoelenco"/>
        <w:numPr>
          <w:ilvl w:val="0"/>
          <w:numId w:val="1"/>
        </w:numPr>
      </w:pPr>
      <w:r>
        <w:t>Sostenere la parte cattolica nel suo compito di testimonianza e di pratica della propria fede in famiglia</w:t>
      </w:r>
    </w:p>
    <w:p w:rsidR="00861687" w:rsidRDefault="00861687" w:rsidP="00861687">
      <w:pPr>
        <w:pStyle w:val="Paragrafoelenco"/>
        <w:numPr>
          <w:ilvl w:val="0"/>
          <w:numId w:val="1"/>
        </w:numPr>
      </w:pPr>
      <w:r>
        <w:t>Garantire alla parte cattolica uno spazio di ascolto rispetto alla dimensione spirituale</w:t>
      </w:r>
    </w:p>
    <w:p w:rsidR="00861687" w:rsidRDefault="00861687" w:rsidP="00861687">
      <w:pPr>
        <w:pStyle w:val="Paragrafoelenco"/>
        <w:numPr>
          <w:ilvl w:val="0"/>
          <w:numId w:val="1"/>
        </w:numPr>
      </w:pPr>
      <w:r>
        <w:t xml:space="preserve">Offrire alla coppia </w:t>
      </w:r>
      <w:r w:rsidR="00B424FD">
        <w:t>informazioni</w:t>
      </w:r>
      <w:r>
        <w:t xml:space="preserve"> e strumenti di conoscenza </w:t>
      </w:r>
      <w:r w:rsidR="00B424FD">
        <w:t>riguardo alla</w:t>
      </w:r>
      <w:r>
        <w:t xml:space="preserve"> religione, le tradizioni, le leggi di famiglia dei rispettivi paesi.</w:t>
      </w:r>
    </w:p>
    <w:p w:rsidR="00244766" w:rsidRDefault="00244766" w:rsidP="00861687">
      <w:pPr>
        <w:pStyle w:val="Paragrafoelenco"/>
        <w:numPr>
          <w:ilvl w:val="0"/>
          <w:numId w:val="1"/>
        </w:numPr>
      </w:pPr>
      <w:r>
        <w:t>PROMUOVERE RIFLESSIONE E CONDIVISIONE SU EDUCAZIONE RELIGIOSA (e non solo) DEI FIGLI</w:t>
      </w:r>
    </w:p>
    <w:p w:rsidR="00861687" w:rsidRDefault="00861687" w:rsidP="00861687">
      <w:pPr>
        <w:pStyle w:val="Paragrafoelenco"/>
        <w:numPr>
          <w:ilvl w:val="0"/>
          <w:numId w:val="1"/>
        </w:numPr>
      </w:pPr>
      <w:r>
        <w:t xml:space="preserve">Offrire </w:t>
      </w:r>
      <w:r w:rsidR="00B424FD">
        <w:t>percorsi</w:t>
      </w:r>
      <w:r>
        <w:t xml:space="preserve"> di sostegno alla coppia e alla genitorialità su diversi livelli (relazionale; sociale; religioso; giuridico)</w:t>
      </w:r>
    </w:p>
    <w:p w:rsidR="00861687" w:rsidRDefault="00B424FD" w:rsidP="00861687">
      <w:pPr>
        <w:pStyle w:val="Paragrafoelenco"/>
        <w:numPr>
          <w:ilvl w:val="0"/>
          <w:numId w:val="1"/>
        </w:numPr>
      </w:pPr>
      <w:r>
        <w:t>Promuovere</w:t>
      </w:r>
      <w:r w:rsidR="00861687">
        <w:t xml:space="preserve"> di solidarietà con altre famiglie </w:t>
      </w:r>
      <w:proofErr w:type="spellStart"/>
      <w:r w:rsidR="00861687">
        <w:t>islamo</w:t>
      </w:r>
      <w:proofErr w:type="spellEnd"/>
      <w:r w:rsidR="00861687">
        <w:t>-cristiane e cattoliche</w:t>
      </w:r>
    </w:p>
    <w:p w:rsidR="00861687" w:rsidRDefault="00861687" w:rsidP="00861687">
      <w:pPr>
        <w:pStyle w:val="Paragrafoelenco"/>
        <w:numPr>
          <w:ilvl w:val="0"/>
          <w:numId w:val="1"/>
        </w:numPr>
      </w:pPr>
      <w:r>
        <w:t xml:space="preserve">Promuovere momenti di confronto tra le coppie ed </w:t>
      </w:r>
      <w:r w:rsidR="00B424FD">
        <w:t xml:space="preserve">esperti </w:t>
      </w:r>
      <w:r>
        <w:t>esterni</w:t>
      </w:r>
    </w:p>
    <w:p w:rsidR="00B424FD" w:rsidRDefault="00B424FD" w:rsidP="00861687">
      <w:pPr>
        <w:pStyle w:val="Paragrafoelenco"/>
        <w:numPr>
          <w:ilvl w:val="0"/>
          <w:numId w:val="1"/>
        </w:numPr>
      </w:pPr>
      <w:r>
        <w:t>Qualora il paese di domicilio sia un paese a maggioranza musulmana, attivare contatti</w:t>
      </w:r>
      <w:r w:rsidR="00861687">
        <w:t xml:space="preserve"> con comunità cristiana locale </w:t>
      </w:r>
    </w:p>
    <w:p w:rsidR="00861687" w:rsidRDefault="00861687" w:rsidP="00861687">
      <w:pPr>
        <w:pStyle w:val="Paragrafoelenco"/>
        <w:numPr>
          <w:ilvl w:val="0"/>
          <w:numId w:val="1"/>
        </w:numPr>
      </w:pPr>
      <w:r>
        <w:t xml:space="preserve">Attrezzare pastoralmente le diocesi </w:t>
      </w:r>
      <w:r w:rsidR="00B424FD">
        <w:t xml:space="preserve">In Italia </w:t>
      </w:r>
      <w:r>
        <w:t>con almeno un sacerdote esperto</w:t>
      </w:r>
      <w:r w:rsidR="00B424FD">
        <w:t xml:space="preserve"> e luoghi pastorali in cui seguire queste esperienze</w:t>
      </w:r>
    </w:p>
    <w:p w:rsidR="00861687" w:rsidRDefault="00861687" w:rsidP="00861687"/>
    <w:p w:rsidR="00861687" w:rsidRDefault="00861687" w:rsidP="00861687"/>
    <w:p w:rsidR="00861687" w:rsidRDefault="00B424FD" w:rsidP="00861687">
      <w:r>
        <w:t xml:space="preserve">MATURARE LA CONSAPEVOLEZZA </w:t>
      </w:r>
      <w:r w:rsidR="00B71533">
        <w:t xml:space="preserve">DELLA DIFFERENZA </w:t>
      </w:r>
      <w:r>
        <w:t>TRAMITE LA CONOSCENZA:</w:t>
      </w:r>
      <w:r w:rsidR="00861687">
        <w:t xml:space="preserve"> PERCORSO PER UN DISCERNIMENTO RESPONSABILE</w:t>
      </w:r>
    </w:p>
    <w:p w:rsidR="00861687" w:rsidRDefault="00861687" w:rsidP="00861687"/>
    <w:p w:rsidR="00861687" w:rsidRDefault="00B424FD" w:rsidP="00861687">
      <w:r>
        <w:t xml:space="preserve">Problemi che </w:t>
      </w:r>
      <w:r w:rsidR="00861687">
        <w:t>le coppie</w:t>
      </w:r>
      <w:r>
        <w:t xml:space="preserve"> di fidanzati si trovano ad affrontare</w:t>
      </w:r>
      <w:r w:rsidR="00147C47">
        <w:t xml:space="preserve"> spesso a livello inconsapevole e che occorre portare alla luce</w:t>
      </w:r>
      <w:r w:rsidR="00861687">
        <w:t>:</w:t>
      </w:r>
    </w:p>
    <w:p w:rsidR="00861687" w:rsidRDefault="00861687" w:rsidP="00861687"/>
    <w:p w:rsidR="00B424FD" w:rsidRDefault="00B424FD" w:rsidP="00861687">
      <w:r>
        <w:t xml:space="preserve">Prospettiva rischiosa: </w:t>
      </w:r>
      <w:r w:rsidRPr="00B424FD">
        <w:rPr>
          <w:i/>
        </w:rPr>
        <w:t xml:space="preserve">Amor </w:t>
      </w:r>
      <w:proofErr w:type="spellStart"/>
      <w:r w:rsidRPr="00B424FD">
        <w:rPr>
          <w:i/>
        </w:rPr>
        <w:t>vincit</w:t>
      </w:r>
      <w:proofErr w:type="spellEnd"/>
      <w:r w:rsidRPr="00B424FD">
        <w:rPr>
          <w:i/>
        </w:rPr>
        <w:t xml:space="preserve"> omnia</w:t>
      </w:r>
      <w:r>
        <w:rPr>
          <w:i/>
        </w:rPr>
        <w:t xml:space="preserve"> </w:t>
      </w:r>
      <w:r w:rsidRPr="00147C47">
        <w:t>(</w:t>
      </w:r>
      <w:r w:rsidRPr="00B71533">
        <w:rPr>
          <w:i/>
        </w:rPr>
        <w:t>sopravvalutazione</w:t>
      </w:r>
      <w:r w:rsidRPr="00147C47">
        <w:t xml:space="preserve"> di se stessi nell’attimo della scelta sentimentale e </w:t>
      </w:r>
      <w:r w:rsidRPr="00B71533">
        <w:rPr>
          <w:i/>
        </w:rPr>
        <w:t>sottovalu</w:t>
      </w:r>
      <w:r w:rsidR="00147C47" w:rsidRPr="00B71533">
        <w:rPr>
          <w:i/>
        </w:rPr>
        <w:t>tazione</w:t>
      </w:r>
      <w:r w:rsidR="00147C47" w:rsidRPr="00147C47">
        <w:t xml:space="preserve"> del sostrato culturale, razionale che alimenta la nostra relazionalità anche dal punto di vista affettivo)</w:t>
      </w:r>
      <w:r w:rsidR="00147C47" w:rsidRPr="00147C47">
        <w:br/>
      </w:r>
    </w:p>
    <w:p w:rsidR="00861687" w:rsidRDefault="00147C47" w:rsidP="00861687">
      <w:pPr>
        <w:pStyle w:val="Paragrafoelenco"/>
        <w:numPr>
          <w:ilvl w:val="0"/>
          <w:numId w:val="2"/>
        </w:numPr>
      </w:pPr>
      <w:r>
        <w:lastRenderedPageBreak/>
        <w:t xml:space="preserve">Si danno per scontate </w:t>
      </w:r>
      <w:r w:rsidRPr="00147C47">
        <w:rPr>
          <w:i/>
        </w:rPr>
        <w:t>analoghe reazione di fronte ai fatti “normali”</w:t>
      </w:r>
      <w:r>
        <w:t xml:space="preserve"> della vita</w:t>
      </w:r>
      <w:r w:rsidR="00861687">
        <w:t xml:space="preserve"> (nascite, malattie, figli, rapporti con le rispettive famiglie)</w:t>
      </w:r>
      <w:r w:rsidR="00B71533">
        <w:br/>
      </w:r>
    </w:p>
    <w:p w:rsidR="00861687" w:rsidRDefault="00147C47" w:rsidP="00861687">
      <w:pPr>
        <w:pStyle w:val="Paragrafoelenco"/>
        <w:numPr>
          <w:ilvl w:val="0"/>
          <w:numId w:val="2"/>
        </w:numPr>
      </w:pPr>
      <w:r w:rsidRPr="00147C47">
        <w:rPr>
          <w:i/>
        </w:rPr>
        <w:t xml:space="preserve">Conoscenza imprecisa, generica o addirittura assente riguardo a elementi importanti del matrimonio, </w:t>
      </w:r>
      <w:r>
        <w:t>del modello di famiglia che si persegue, delle relazioni dei coniugi al suo interno, nei riguardi dei figli e della “grande famiglia” dei parenti (questioni religiose, giuridiche, economiche, culturali)</w:t>
      </w:r>
      <w:r w:rsidR="009A047E">
        <w:br/>
      </w:r>
    </w:p>
    <w:p w:rsidR="00861687" w:rsidRDefault="00147C47" w:rsidP="00861687">
      <w:pPr>
        <w:pStyle w:val="Paragrafoelenco"/>
        <w:numPr>
          <w:ilvl w:val="0"/>
          <w:numId w:val="2"/>
        </w:numPr>
      </w:pPr>
      <w:r>
        <w:t>La difficoltà a immaginare e dunque a valutare in anticipo un esperienza di convivenza familiare tra due persone con retroterra culturali assai diversi.</w:t>
      </w:r>
      <w:r w:rsidR="009A047E">
        <w:br/>
      </w:r>
    </w:p>
    <w:p w:rsidR="009A047E" w:rsidRDefault="00147C47" w:rsidP="00861687">
      <w:pPr>
        <w:pStyle w:val="Paragrafoelenco"/>
        <w:numPr>
          <w:ilvl w:val="0"/>
          <w:numId w:val="2"/>
        </w:numPr>
      </w:pPr>
      <w:r>
        <w:t>Difficoltà a identificare ciò che è importante per entrambi all’interno della vita coniugale</w:t>
      </w:r>
      <w:r w:rsidR="00B424FD">
        <w:t>: come v</w:t>
      </w:r>
      <w:r>
        <w:t>alutarlo in prospettiva futura</w:t>
      </w:r>
      <w:r w:rsidR="009A047E">
        <w:t>.</w:t>
      </w:r>
      <w:r w:rsidR="009A047E">
        <w:br/>
      </w:r>
    </w:p>
    <w:p w:rsidR="00B424FD" w:rsidRDefault="009A047E" w:rsidP="00861687">
      <w:pPr>
        <w:pStyle w:val="Paragrafoelenco"/>
        <w:numPr>
          <w:ilvl w:val="0"/>
          <w:numId w:val="2"/>
        </w:numPr>
      </w:pPr>
      <w:r>
        <w:t xml:space="preserve">Invitare realisticamente ad affrontare la complessa questione della futura educazione religiosa dei figli (evitando percorsi di agnosticismo pratico). </w:t>
      </w:r>
      <w:r w:rsidR="00FC47C9">
        <w:br/>
      </w:r>
      <w:r w:rsidR="00244766">
        <w:br/>
      </w:r>
      <w:r w:rsidR="00244766">
        <w:br/>
      </w:r>
      <w:r w:rsidR="00B424FD">
        <w:br/>
        <w:t>FASI PASTORALI DI UN PERCORSO</w:t>
      </w:r>
      <w:r w:rsidR="00147C47">
        <w:br/>
      </w:r>
    </w:p>
    <w:p w:rsidR="00B424FD" w:rsidRDefault="00B424FD" w:rsidP="00861687">
      <w:pPr>
        <w:pStyle w:val="Paragrafoelenco"/>
        <w:numPr>
          <w:ilvl w:val="0"/>
          <w:numId w:val="2"/>
        </w:numPr>
      </w:pPr>
      <w:r>
        <w:t>Incontro con la coppia</w:t>
      </w:r>
      <w:r w:rsidR="00147C47">
        <w:t>: cordialità e attenzione, cercare di valutare insieme i punti di distanza (origine nazionale diversa, livello di istruzione diversa, religioni diverse…) e di vicinanza (lunghezza del rapporto, elementi a favore di una sua solidità, livello di conoscenza reciproca e delle rispettive situazioni familiari, culturali, religiose)</w:t>
      </w:r>
      <w:r w:rsidR="00244766">
        <w:t>.</w:t>
      </w:r>
      <w:r w:rsidR="00147C47">
        <w:br/>
      </w:r>
    </w:p>
    <w:p w:rsidR="00B424FD" w:rsidRDefault="00B424FD" w:rsidP="00861687">
      <w:pPr>
        <w:pStyle w:val="Paragrafoelenco"/>
        <w:numPr>
          <w:ilvl w:val="0"/>
          <w:numId w:val="2"/>
        </w:numPr>
      </w:pPr>
      <w:r>
        <w:t>Fase di istruzione informazione (anche sulle pro</w:t>
      </w:r>
      <w:r w:rsidR="00244766">
        <w:t>prietà del matrimonio cattolico)</w:t>
      </w:r>
      <w:r w:rsidR="00147C47">
        <w:br/>
      </w:r>
    </w:p>
    <w:p w:rsidR="00B424FD" w:rsidRDefault="00B424FD" w:rsidP="00861687">
      <w:pPr>
        <w:pStyle w:val="Paragrafoelenco"/>
        <w:numPr>
          <w:ilvl w:val="0"/>
          <w:numId w:val="2"/>
        </w:numPr>
      </w:pPr>
      <w:r>
        <w:t>Celebrazione</w:t>
      </w:r>
      <w:r w:rsidR="00147C47">
        <w:t xml:space="preserve"> del matrimonio con dispensa </w:t>
      </w:r>
      <w:proofErr w:type="spellStart"/>
      <w:r w:rsidR="00147C47" w:rsidRPr="00147C47">
        <w:rPr>
          <w:i/>
        </w:rPr>
        <w:t>disparitatis</w:t>
      </w:r>
      <w:proofErr w:type="spellEnd"/>
      <w:r w:rsidR="00147C47" w:rsidRPr="00147C47">
        <w:rPr>
          <w:i/>
        </w:rPr>
        <w:t xml:space="preserve"> </w:t>
      </w:r>
      <w:proofErr w:type="spellStart"/>
      <w:r w:rsidR="00147C47" w:rsidRPr="00147C47">
        <w:rPr>
          <w:i/>
        </w:rPr>
        <w:t>cultus</w:t>
      </w:r>
      <w:proofErr w:type="spellEnd"/>
      <w:r w:rsidR="00147C47">
        <w:br/>
      </w:r>
    </w:p>
    <w:p w:rsidR="00244766" w:rsidRDefault="00B424FD" w:rsidP="00861687">
      <w:pPr>
        <w:pStyle w:val="Paragrafoelenco"/>
        <w:numPr>
          <w:ilvl w:val="0"/>
          <w:numId w:val="2"/>
        </w:numPr>
      </w:pPr>
      <w:r>
        <w:t>Accompagnamento familiare</w:t>
      </w:r>
      <w:r w:rsidR="00147C47">
        <w:t xml:space="preserve"> successivo al matrimonio</w:t>
      </w:r>
    </w:p>
    <w:p w:rsidR="00244766" w:rsidRDefault="00244766" w:rsidP="00244766"/>
    <w:p w:rsidR="00244766" w:rsidRDefault="00244766" w:rsidP="00244766"/>
    <w:p w:rsidR="00244766" w:rsidRDefault="00244766" w:rsidP="00244766">
      <w:r>
        <w:t>III. La coppia mista come “luogo” esperienziale del dialogo interreligioso</w:t>
      </w:r>
    </w:p>
    <w:p w:rsidR="00B71533" w:rsidRDefault="00B71533" w:rsidP="00B71533"/>
    <w:p w:rsidR="00B71533" w:rsidRDefault="00B71533" w:rsidP="00B71533"/>
    <w:p w:rsidR="00B71533" w:rsidRDefault="00B71533" w:rsidP="00B71533">
      <w:r>
        <w:t>Bibliografia essenziale</w:t>
      </w:r>
    </w:p>
    <w:p w:rsidR="00B71533" w:rsidRDefault="00B71533" w:rsidP="00B71533"/>
    <w:p w:rsidR="00B71533" w:rsidRDefault="00B71533" w:rsidP="00B71533">
      <w:pPr>
        <w:pStyle w:val="Paragrafoelenco"/>
        <w:numPr>
          <w:ilvl w:val="0"/>
          <w:numId w:val="5"/>
        </w:numPr>
      </w:pPr>
      <w:r>
        <w:t xml:space="preserve">Presidenza della Conferenza Episcopale Italiana, </w:t>
      </w:r>
      <w:r w:rsidRPr="00B71533">
        <w:rPr>
          <w:i/>
        </w:rPr>
        <w:t>I matrimoni tra cattolici e musulmani in Italia</w:t>
      </w:r>
      <w:r>
        <w:t>, Roma 2005</w:t>
      </w:r>
    </w:p>
    <w:p w:rsidR="00B71533" w:rsidRDefault="00B71533" w:rsidP="00B71533">
      <w:pPr>
        <w:pStyle w:val="Paragrafoelenco"/>
        <w:numPr>
          <w:ilvl w:val="0"/>
          <w:numId w:val="5"/>
        </w:numPr>
      </w:pPr>
      <w:r>
        <w:t xml:space="preserve">Ghiringhelli B., NEGRI A., </w:t>
      </w:r>
      <w:r w:rsidRPr="00B71533">
        <w:rPr>
          <w:i/>
        </w:rPr>
        <w:t>I matrimoni cristiano-islamici in Italia</w:t>
      </w:r>
      <w:r>
        <w:t>, EDB, Bologna 2008</w:t>
      </w:r>
    </w:p>
    <w:p w:rsidR="00B71533" w:rsidRDefault="00B71533" w:rsidP="00B71533">
      <w:pPr>
        <w:pStyle w:val="Paragrafoelenco"/>
        <w:numPr>
          <w:ilvl w:val="0"/>
          <w:numId w:val="5"/>
        </w:numPr>
      </w:pPr>
      <w:proofErr w:type="spellStart"/>
      <w:r>
        <w:t>Césari</w:t>
      </w:r>
      <w:proofErr w:type="spellEnd"/>
      <w:r>
        <w:t xml:space="preserve"> J., </w:t>
      </w:r>
      <w:proofErr w:type="spellStart"/>
      <w:r>
        <w:t>Pacini</w:t>
      </w:r>
      <w:proofErr w:type="spellEnd"/>
      <w:r>
        <w:t xml:space="preserve"> A, </w:t>
      </w:r>
      <w:r w:rsidRPr="00B71533">
        <w:rPr>
          <w:i/>
        </w:rPr>
        <w:t>Giovani musulmani in Europa</w:t>
      </w:r>
      <w:r>
        <w:t>, Ed. Fondazione G. Agnelli,  Torio 2005</w:t>
      </w:r>
    </w:p>
    <w:p w:rsidR="00B71533" w:rsidRDefault="00B71533" w:rsidP="00B71533">
      <w:pPr>
        <w:pStyle w:val="Paragrafoelenco"/>
        <w:numPr>
          <w:ilvl w:val="0"/>
          <w:numId w:val="5"/>
        </w:numPr>
      </w:pPr>
      <w:proofErr w:type="spellStart"/>
      <w:r>
        <w:t>Pacini</w:t>
      </w:r>
      <w:proofErr w:type="spellEnd"/>
      <w:r>
        <w:t xml:space="preserve"> A., </w:t>
      </w:r>
      <w:r w:rsidRPr="00B71533">
        <w:rPr>
          <w:i/>
        </w:rPr>
        <w:t>Chiesa e Islam in Italia</w:t>
      </w:r>
      <w:r>
        <w:t>, Edizioni Paoline, Milano 2008</w:t>
      </w:r>
    </w:p>
    <w:p w:rsidR="00244766" w:rsidRPr="00FA4E48" w:rsidRDefault="00244766" w:rsidP="00B71533">
      <w:pPr>
        <w:pStyle w:val="Paragrafoelenco"/>
        <w:numPr>
          <w:ilvl w:val="0"/>
          <w:numId w:val="5"/>
        </w:numPr>
        <w:rPr>
          <w:lang w:val="en-US"/>
        </w:rPr>
      </w:pPr>
      <w:proofErr w:type="spellStart"/>
      <w:r w:rsidRPr="00FA4E48">
        <w:rPr>
          <w:lang w:val="en-US"/>
        </w:rPr>
        <w:t>Speelman</w:t>
      </w:r>
      <w:proofErr w:type="spellEnd"/>
      <w:r w:rsidRPr="00FA4E48">
        <w:rPr>
          <w:lang w:val="en-US"/>
        </w:rPr>
        <w:t xml:space="preserve"> G.M., </w:t>
      </w:r>
      <w:r w:rsidRPr="00FA4E48">
        <w:rPr>
          <w:i/>
          <w:lang w:val="en-US"/>
        </w:rPr>
        <w:t>Keeping faith: Muslim-Christian couples and interreligious dialogue</w:t>
      </w:r>
      <w:r w:rsidRPr="00FA4E48">
        <w:rPr>
          <w:lang w:val="en-US"/>
        </w:rPr>
        <w:t xml:space="preserve">, University of Virginia Press, </w:t>
      </w:r>
      <w:proofErr w:type="spellStart"/>
      <w:r w:rsidRPr="00FA4E48">
        <w:rPr>
          <w:lang w:val="en-US"/>
        </w:rPr>
        <w:t>Meinema</w:t>
      </w:r>
      <w:proofErr w:type="spellEnd"/>
      <w:r w:rsidRPr="00FA4E48">
        <w:rPr>
          <w:lang w:val="en-US"/>
        </w:rPr>
        <w:t>, 2008</w:t>
      </w:r>
    </w:p>
    <w:sectPr w:rsidR="00244766" w:rsidRPr="00FA4E48" w:rsidSect="00AB14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CFC"/>
    <w:multiLevelType w:val="hybridMultilevel"/>
    <w:tmpl w:val="7E12F8BA"/>
    <w:lvl w:ilvl="0" w:tplc="628027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53F"/>
    <w:multiLevelType w:val="hybridMultilevel"/>
    <w:tmpl w:val="0F8EF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44DEC"/>
    <w:multiLevelType w:val="hybridMultilevel"/>
    <w:tmpl w:val="10587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10B7"/>
    <w:multiLevelType w:val="hybridMultilevel"/>
    <w:tmpl w:val="D6980244"/>
    <w:lvl w:ilvl="0" w:tplc="BEAEBEF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330D8"/>
    <w:multiLevelType w:val="hybridMultilevel"/>
    <w:tmpl w:val="6F6C13EE"/>
    <w:lvl w:ilvl="0" w:tplc="1B96A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7"/>
    <w:rsid w:val="00147C47"/>
    <w:rsid w:val="00244766"/>
    <w:rsid w:val="007011E7"/>
    <w:rsid w:val="00861687"/>
    <w:rsid w:val="009A047E"/>
    <w:rsid w:val="00AB14FB"/>
    <w:rsid w:val="00B424FD"/>
    <w:rsid w:val="00B71533"/>
    <w:rsid w:val="00FA4E48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PACINI</dc:creator>
  <cp:keywords/>
  <dc:description/>
  <cp:lastModifiedBy> </cp:lastModifiedBy>
  <cp:revision>2</cp:revision>
  <dcterms:created xsi:type="dcterms:W3CDTF">2013-02-19T08:31:00Z</dcterms:created>
  <dcterms:modified xsi:type="dcterms:W3CDTF">2013-02-20T08:51:00Z</dcterms:modified>
</cp:coreProperties>
</file>